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E" w:rsidRDefault="0064732E" w:rsidP="006473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>МУНИЦИПАЛЬНОЕ ОБРАЗОВАНИЕ ТАЗОВСКИЙ РАЙОН</w:t>
      </w:r>
    </w:p>
    <w:p w:rsidR="0064732E" w:rsidRDefault="0064732E" w:rsidP="006473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>МУНИЦИПАЛЬНОЕ БЮДЖЕТНОЕ ОБРАЗОВАТЕЛЬНОЕ УЧРЕЖДЕНИЕ</w:t>
      </w:r>
    </w:p>
    <w:p w:rsidR="0064732E" w:rsidRDefault="0064732E" w:rsidP="006473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FF0000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>ТАЗОВСКАЯ СРЕДНЯЯ ОБЩЕОБРАЗОВАТЕЛЬНАЯ ШКОЛА</w:t>
      </w:r>
    </w:p>
    <w:p w:rsidR="0064732E" w:rsidRDefault="0064732E" w:rsidP="006473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FF0000"/>
          <w:kern w:val="2"/>
          <w:sz w:val="28"/>
          <w:szCs w:val="28"/>
          <w:lang w:eastAsia="zh-CN" w:bidi="hi-IN"/>
        </w:rPr>
      </w:pPr>
    </w:p>
    <w:p w:rsidR="0064732E" w:rsidRDefault="0064732E" w:rsidP="006473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FF0000"/>
          <w:kern w:val="2"/>
          <w:sz w:val="28"/>
          <w:szCs w:val="28"/>
          <w:lang w:eastAsia="zh-CN" w:bidi="hi-IN"/>
        </w:rPr>
      </w:pPr>
    </w:p>
    <w:p w:rsidR="0064732E" w:rsidRDefault="0064732E" w:rsidP="0064732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FF0000"/>
          <w:kern w:val="2"/>
          <w:sz w:val="28"/>
          <w:szCs w:val="28"/>
          <w:lang w:eastAsia="zh-CN"/>
        </w:rPr>
      </w:pPr>
      <w:r>
        <w:rPr>
          <w:rFonts w:ascii="Times New Roman" w:eastAsia="Arial" w:hAnsi="Times New Roman"/>
          <w:b/>
          <w:bCs/>
          <w:caps/>
          <w:kern w:val="2"/>
          <w:sz w:val="28"/>
          <w:szCs w:val="28"/>
          <w:lang w:eastAsia="zh-CN"/>
        </w:rPr>
        <w:t>Информация</w:t>
      </w:r>
    </w:p>
    <w:p w:rsidR="0064732E" w:rsidRDefault="0064732E" w:rsidP="0064732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4732E" w:rsidRDefault="0064732E" w:rsidP="006473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По итогам мониторинговых мероприятий 2016-2017 учебном году</w:t>
      </w:r>
    </w:p>
    <w:p w:rsidR="0064732E" w:rsidRDefault="0064732E" w:rsidP="0064732E">
      <w:pPr>
        <w:widowControl w:val="0"/>
        <w:suppressAutoHyphens/>
        <w:snapToGrid w:val="0"/>
        <w:spacing w:after="0" w:line="240" w:lineRule="auto"/>
        <w:ind w:firstLine="425"/>
        <w:jc w:val="both"/>
        <w:rPr>
          <w:rFonts w:ascii="Times New Roman" w:eastAsia="DejaVu Sans" w:hAnsi="Times New Roman" w:cs="Lohit Hindi"/>
          <w:b/>
          <w:kern w:val="1"/>
          <w:sz w:val="24"/>
          <w:szCs w:val="24"/>
          <w:u w:val="single"/>
          <w:lang w:eastAsia="hi-IN" w:bidi="hi-IN"/>
        </w:rPr>
      </w:pPr>
    </w:p>
    <w:p w:rsidR="0064732E" w:rsidRPr="0064732E" w:rsidRDefault="0064732E" w:rsidP="0064732E">
      <w:pPr>
        <w:widowControl w:val="0"/>
        <w:suppressAutoHyphens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4732E">
        <w:rPr>
          <w:rFonts w:ascii="Times New Roman" w:eastAsia="DejaVu Sans" w:hAnsi="Times New Roman" w:cs="Lohit Hindi"/>
          <w:b/>
          <w:kern w:val="1"/>
          <w:sz w:val="24"/>
          <w:szCs w:val="24"/>
          <w:u w:val="single"/>
          <w:lang w:eastAsia="hi-IN" w:bidi="hi-IN"/>
        </w:rPr>
        <w:t>1. Мониторинг оценки информационно-коммуникационной компетентности обучающихся 8-х классов</w:t>
      </w:r>
      <w:r w:rsidRPr="006473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 2016 году.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24-25 октября 2016 года обучающиеся 8-х классов МБОУ ТСОШ приняли участие в мониторинге оценки информационно-коммуникационной компетентности, в котором приняли участие 82 человека.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целом, в данном исследовании участвовали восьмиклассники 110 учебных заведений, расположенных во всех 13 муниципальных образованиях Ямало-Ненецкого автономного округа (ЯНАО). 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 исследования обусловлена тем, что успешная адаптация человека в современном обществе невозможна без умения работать с информацией. И показателем этого умения является уровень информационно-коммуникационной компетентности.</w:t>
      </w:r>
    </w:p>
    <w:p w:rsid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Тест состоял из 16 вопросов различной сложности и ставил перед обучающими различные проблемные жизненные ситуации, которые нужно разрешить. Примерная структура теста приведена в таблице: 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086"/>
        <w:gridCol w:w="3093"/>
      </w:tblGrid>
      <w:tr w:rsidR="0064732E" w:rsidRPr="0064732E" w:rsidTr="003163E1"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задания</w:t>
            </w:r>
          </w:p>
        </w:tc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тестовых заданий для одного варианта теста</w:t>
            </w:r>
          </w:p>
        </w:tc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Возможное время (в минутах) выполнения задания</w:t>
            </w:r>
          </w:p>
        </w:tc>
      </w:tr>
      <w:tr w:rsidR="0064732E" w:rsidRPr="0064732E" w:rsidTr="003163E1"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Простой (оценка одной составляющей ИК-компетентности)</w:t>
            </w:r>
          </w:p>
        </w:tc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3–4</w:t>
            </w:r>
          </w:p>
        </w:tc>
      </w:tr>
      <w:tr w:rsidR="0064732E" w:rsidRPr="0064732E" w:rsidTr="003163E1"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(оценка двух–трех составляющих ИК-компетентности)</w:t>
            </w:r>
          </w:p>
        </w:tc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10–15</w:t>
            </w:r>
          </w:p>
        </w:tc>
      </w:tr>
      <w:tr w:rsidR="0064732E" w:rsidRPr="0064732E" w:rsidTr="003163E1"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Сложный (оценка четырех–пяти составляющих ИК-компетентности)</w:t>
            </w:r>
          </w:p>
        </w:tc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64732E" w:rsidRPr="0064732E" w:rsidRDefault="0064732E" w:rsidP="00647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20–30</w:t>
            </w:r>
          </w:p>
        </w:tc>
      </w:tr>
    </w:tbl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из составляющих ИК-компетентности оценивалась, исходя из 3 уровней: компетентный, приемлемый, неприемлемый.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По итогам обработки результатов тестирования каждому обучающемуся присваивался один из пяти уровней ИК-компетентности: продвинутый (самый высокий уровень), выше среднего, средний, ниже среднего или развивающийся (самый низкий уровень). Каждый из уровней ИК-компетентности означает степень, в которой обучающиеся могут использовать информационные технологии, и указывает на определенные навыки и компетентности, которыми они обладают, и, с другой стороны, фиксирует те группы задач, для которых у них не хватает навыков.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Результаты данного мониторинга были представлены в разрезе отдельных районов ЯНАО.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lastRenderedPageBreak/>
        <w:t xml:space="preserve">Уровень ИКК различается по разным районам ЯНАО. Так, наиболее продвинутыми оказались школьники г. </w:t>
      </w:r>
      <w:proofErr w:type="spellStart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Губкинский</w:t>
      </w:r>
      <w:proofErr w:type="spellEnd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, Нового Уренгоя, Салехарда, </w:t>
      </w:r>
      <w:proofErr w:type="spellStart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Надымского</w:t>
      </w:r>
      <w:proofErr w:type="spellEnd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района и Ноябрьска. Наименьший уровень ИКК демонстрируют обучающиеся Приуральского, </w:t>
      </w:r>
      <w:proofErr w:type="spellStart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Ямальского</w:t>
      </w:r>
      <w:proofErr w:type="spellEnd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, Тазовского и </w:t>
      </w:r>
      <w:proofErr w:type="spellStart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Шурышкарского</w:t>
      </w:r>
      <w:proofErr w:type="spellEnd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районов. Эти различия могут быть связаны с типом школ, привычностью русского языка, на котором проводился тест, удаленностью школ, техническим обеспечением и многими другими факторами.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Общий уровень ИК-компетентности восьмиклассников Тазовского района можно обозначить как ниже среднего. В диаграмме представлены результаты обучающихся в соответствии с основными уровнями: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8025" cy="21526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процентном соотношении: продвинутый – 3%; выше среднего – 7%; средний – 31%; ниже среднего – 28%; развивающийся – 31%.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Общий уровень ИК-компетентности восьмиклассников МБОУ ТСОШ можно обозначить как средний. В диаграмме представлены результаты обучающихся в соответствии с основными уровнями: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8025" cy="2152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процентном соотношении: продвинутый – 5%; выше среднего – 16%; средний – 45%; ниже среднего – 21%; развивающийся – 16%.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В таблице приведены сводные данным по МБОУ ТСОШ и Тазовскому району.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88"/>
        <w:gridCol w:w="1193"/>
        <w:gridCol w:w="1199"/>
        <w:gridCol w:w="1193"/>
        <w:gridCol w:w="1673"/>
      </w:tblGrid>
      <w:tr w:rsidR="0064732E" w:rsidRPr="0064732E" w:rsidTr="0064732E">
        <w:tc>
          <w:tcPr>
            <w:tcW w:w="9498" w:type="dxa"/>
            <w:gridSpan w:val="6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уровень ИК-компетентности обучающихся </w:t>
            </w:r>
          </w:p>
        </w:tc>
      </w:tr>
      <w:tr w:rsidR="0064732E" w:rsidRPr="0064732E" w:rsidTr="0064732E">
        <w:tc>
          <w:tcPr>
            <w:tcW w:w="2552" w:type="dxa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lang w:eastAsia="ru-RU"/>
              </w:rPr>
              <w:t>Наименование ОО</w:t>
            </w:r>
          </w:p>
        </w:tc>
        <w:tc>
          <w:tcPr>
            <w:tcW w:w="1688" w:type="dxa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lang w:eastAsia="ru-RU"/>
              </w:rPr>
              <w:t>Продвинутый уровень</w:t>
            </w:r>
          </w:p>
        </w:tc>
        <w:tc>
          <w:tcPr>
            <w:tcW w:w="1193" w:type="dxa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lang w:eastAsia="ru-RU"/>
              </w:rPr>
              <w:t>Уровень выше среднего</w:t>
            </w:r>
          </w:p>
        </w:tc>
        <w:tc>
          <w:tcPr>
            <w:tcW w:w="1199" w:type="dxa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lang w:eastAsia="ru-RU"/>
              </w:rPr>
              <w:t>Средний уровень</w:t>
            </w:r>
          </w:p>
        </w:tc>
        <w:tc>
          <w:tcPr>
            <w:tcW w:w="1193" w:type="dxa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lang w:eastAsia="ru-RU"/>
              </w:rPr>
              <w:t>Уровень ниже среднего</w:t>
            </w:r>
          </w:p>
        </w:tc>
        <w:tc>
          <w:tcPr>
            <w:tcW w:w="1673" w:type="dxa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lang w:eastAsia="ru-RU"/>
              </w:rPr>
              <w:t>Развивающий уровень</w:t>
            </w:r>
          </w:p>
        </w:tc>
      </w:tr>
      <w:tr w:rsidR="0064732E" w:rsidRPr="0064732E" w:rsidTr="0064732E">
        <w:tc>
          <w:tcPr>
            <w:tcW w:w="2552" w:type="dxa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ТСОШ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4732E" w:rsidRPr="0064732E" w:rsidTr="0064732E">
        <w:tc>
          <w:tcPr>
            <w:tcW w:w="2552" w:type="dxa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  <w:tr w:rsidR="0064732E" w:rsidRPr="0064732E" w:rsidTr="0064732E">
        <w:tc>
          <w:tcPr>
            <w:tcW w:w="2552" w:type="dxa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Тазовский район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4732E" w:rsidRPr="0064732E" w:rsidTr="0064732E">
        <w:tc>
          <w:tcPr>
            <w:tcW w:w="2552" w:type="dxa"/>
            <w:shd w:val="clear" w:color="auto" w:fill="auto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7,3%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4732E" w:rsidRPr="0064732E" w:rsidRDefault="0064732E" w:rsidP="0064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30,7%</w:t>
            </w:r>
          </w:p>
        </w:tc>
      </w:tr>
    </w:tbl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64732E" w:rsidRDefault="0064732E" w:rsidP="0064732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lastRenderedPageBreak/>
        <w:t xml:space="preserve">Анализ результатов показал, что нужно повысить ИК-компетентность обучающихся, не через формальное внедрение компьютерной техники в учебный процесс, а через изменение форм и методов образовательного процесса, переключение деятельности детей из строго учебной, в учебно-практическую и самостоятельную работу (школьные проекты). 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Выводы: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1. Обучающиеся, которые показали низкие результаты - нуждаются в коррекционной работе;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2. Обучающиеся с высокими результатами нуждаются в дополнительном внимании для сохранения хорошо сформированной ИК-компетентности.  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64732E" w:rsidRPr="0064732E" w:rsidRDefault="0064732E" w:rsidP="0064732E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 w:cs="Lohit Hindi"/>
          <w:b/>
          <w:kern w:val="1"/>
          <w:sz w:val="24"/>
          <w:szCs w:val="24"/>
          <w:u w:val="single"/>
          <w:lang w:eastAsia="hi-IN" w:bidi="hi-IN"/>
        </w:rPr>
      </w:pPr>
      <w:r w:rsidRPr="0064732E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  <w:t xml:space="preserve">2. </w:t>
      </w:r>
      <w:r w:rsidRPr="0064732E">
        <w:rPr>
          <w:rFonts w:ascii="Times New Roman" w:eastAsia="DejaVu Sans" w:hAnsi="Times New Roman"/>
          <w:b/>
          <w:kern w:val="1"/>
          <w:sz w:val="24"/>
          <w:szCs w:val="28"/>
          <w:u w:val="single"/>
          <w:lang w:eastAsia="hi-IN" w:bidi="hi-IN"/>
        </w:rPr>
        <w:t>Мониторинг внешней оценки динамики читательской грамотности обучающихся 5-х, 7-х, 9-х классов в 2016 году.</w:t>
      </w:r>
    </w:p>
    <w:p w:rsidR="0064732E" w:rsidRPr="0064732E" w:rsidRDefault="0064732E" w:rsidP="0064732E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32E" w:rsidRPr="0064732E" w:rsidRDefault="0064732E" w:rsidP="0064732E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sz w:val="24"/>
          <w:szCs w:val="24"/>
          <w:lang w:eastAsia="ru-RU"/>
        </w:rPr>
        <w:t>С 17 по 21 октября 2016 года в МБОУ ТСОШ состоялся мониторинг внешней оценки динамики читательской грамотности обучающихся 5-х, 7-х, 9-х классов, в котором приняли участие 273 человека.</w:t>
      </w:r>
    </w:p>
    <w:p w:rsidR="0064732E" w:rsidRPr="0064732E" w:rsidRDefault="0064732E" w:rsidP="0064732E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5-х и 7-х классов в данном Мониторинге участвовали первый раз, а обучающиеся 9-х классов – во второй раз. </w:t>
      </w:r>
    </w:p>
    <w:p w:rsidR="0064732E" w:rsidRPr="0064732E" w:rsidRDefault="0064732E" w:rsidP="0064732E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bCs/>
          <w:kern w:val="1"/>
          <w:sz w:val="24"/>
          <w:szCs w:val="24"/>
          <w:lang w:eastAsia="hi-IN" w:bidi="hi-IN"/>
        </w:rPr>
        <w:t>Проведение работы</w:t>
      </w:r>
      <w:r w:rsidRPr="0064732E">
        <w:rPr>
          <w:rFonts w:ascii="Times New Roman" w:eastAsia="DejaVu Sans" w:hAnsi="Times New Roman" w:cs="Lohit Hind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осуществлялось в 5, 7 и 9 классах по одним и тем же измерительным материалам. В каждом классе, принимающем участие в исследовании, использовались все 8 тетрадей. В каждой тетради две части, каждая часть представляла собой текст и ряд вопросов к нему. После тестирования обучающиеся заполнили анкету.</w:t>
      </w:r>
    </w:p>
    <w:p w:rsidR="0064732E" w:rsidRPr="0064732E" w:rsidRDefault="0064732E" w:rsidP="0064732E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Основные материалы, на которых основывалась данная работа: </w:t>
      </w:r>
    </w:p>
    <w:p w:rsidR="0064732E" w:rsidRPr="0064732E" w:rsidRDefault="0064732E" w:rsidP="0064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Концептуальные основы международного исследования «Изучение качества чтения и понимания текста» </w:t>
      </w:r>
      <w:r w:rsidRPr="00647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PIRLS </w:t>
      </w:r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Progress</w:t>
      </w:r>
      <w:proofErr w:type="spellEnd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</w:t>
      </w:r>
      <w:proofErr w:type="spellEnd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Reading</w:t>
      </w:r>
      <w:proofErr w:type="spellEnd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Literacy</w:t>
      </w:r>
      <w:proofErr w:type="spellEnd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Study</w:t>
      </w:r>
      <w:proofErr w:type="spellEnd"/>
      <w:r w:rsidRPr="00647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64732E" w:rsidRPr="0064732E" w:rsidRDefault="0064732E" w:rsidP="0064732E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2. Концептуальные основы международной программы по оценке образовательных достижений учащихся </w:t>
      </w:r>
      <w:r w:rsidRPr="0064732E">
        <w:rPr>
          <w:rFonts w:ascii="Times New Roman" w:eastAsia="DejaVu Sans" w:hAnsi="Times New Roman" w:cs="Lohit Hindi"/>
          <w:b/>
          <w:bCs/>
          <w:kern w:val="1"/>
          <w:sz w:val="24"/>
          <w:szCs w:val="24"/>
          <w:lang w:eastAsia="hi-IN" w:bidi="hi-IN"/>
        </w:rPr>
        <w:t xml:space="preserve">PISA </w:t>
      </w: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(</w:t>
      </w:r>
      <w:proofErr w:type="spellStart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Programme</w:t>
      </w:r>
      <w:proofErr w:type="spellEnd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for</w:t>
      </w:r>
      <w:proofErr w:type="spellEnd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International</w:t>
      </w:r>
      <w:proofErr w:type="spellEnd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Student</w:t>
      </w:r>
      <w:proofErr w:type="spellEnd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Assessment</w:t>
      </w:r>
      <w:proofErr w:type="spellEnd"/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).</w:t>
      </w:r>
    </w:p>
    <w:p w:rsidR="0064732E" w:rsidRPr="0064732E" w:rsidRDefault="0064732E" w:rsidP="0064732E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В 5-х классах на выполнение всей работы потребовалось 2 урока - 40 минут на первую часть и 40 минут на вторую часть. В 7-х и 9-х классах работа заняла меньше времени.</w:t>
      </w:r>
    </w:p>
    <w:p w:rsidR="0064732E" w:rsidRPr="0064732E" w:rsidRDefault="0064732E" w:rsidP="0064732E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Выполнение отдельных заданий оценивалось разным числом баллов (от 0 до 3 баллов) в зависимости от структуры задания, его уровня сложности, формата ответа и особенностей проверяемых умений. Число выставленных баллов определялось с учетом полноты и правильности выполнения задания. Работы обучающихся проверяли учителя, преподающие русский язык и литературу, в этих классах.</w:t>
      </w:r>
    </w:p>
    <w:p w:rsidR="0064732E" w:rsidRPr="0064732E" w:rsidRDefault="0064732E" w:rsidP="0064732E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Оценка выполнения работы осуществляется в соответствии с рекомендациями по оцениванию выполнения заданий работы «Чтение и понимание текстов». Все обучающиеся МБОУ ТСОШ справились с тестовыми заданиями, но с разной долей успеха. В процентом соотношении было дано от 13% до 98% правильных ответов.</w:t>
      </w:r>
    </w:p>
    <w:p w:rsidR="0064732E" w:rsidRPr="0064732E" w:rsidRDefault="0064732E" w:rsidP="0064732E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Данные, полученные в рамках международных исследований оценки читательской грамотности, показывают, что на разных этапах школьного обучения у обучающихся отмечается разный уровень осознанности чтения.</w:t>
      </w:r>
    </w:p>
    <w:p w:rsidR="0064732E" w:rsidRPr="0064732E" w:rsidRDefault="0064732E" w:rsidP="0064732E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/>
          <w:b/>
          <w:kern w:val="1"/>
          <w:sz w:val="24"/>
          <w:szCs w:val="28"/>
          <w:lang w:eastAsia="hi-IN" w:bidi="hi-IN"/>
        </w:rPr>
      </w:pPr>
      <w:r w:rsidRPr="0064732E">
        <w:rPr>
          <w:rFonts w:ascii="Times New Roman" w:eastAsia="DejaVu Sans" w:hAnsi="Times New Roman"/>
          <w:b/>
          <w:kern w:val="1"/>
          <w:sz w:val="24"/>
          <w:szCs w:val="28"/>
          <w:lang w:eastAsia="hi-IN" w:bidi="hi-IN"/>
        </w:rPr>
        <w:t>Выводы и рекомендации: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1. В целом в отмечается существенный рост читательской грамотности школьников с 5 по 9 класс. Это означает, что в основной школе ведется работа с информационными текстами, которая приводит к улучшению понимания текста. Наибольший общий прирост читательской грамотности зафиксирован между 5 и 7 классами. По отдельным читательским умениям, а именно: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1) Найти и извлечь информацию из текста; 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2) Интегрировать и интерпретировать информацию из текста; 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3) Осмыслить и оценить информацию (форму и содержание сообщения, содержащегося в тексте) в целом наблюдается рост на протяжении всего периода обучения в основной школе.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lastRenderedPageBreak/>
        <w:t xml:space="preserve">2.  У обучающихся основной школы наиболее сформированным является умение находить нужную информацию в тексте. На втором месте идет умение оценивать сообщения, содержащиеся в тексте, и немногим более трудным остается умение интерпретировать эти сообщения. 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3. Полученные данные по каждому обучающемуся, позволяют использовать результаты исследования для управления качеством образования, а именно, совершенствования работы по формированию читательской грамотности. 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4. При проведении работы в образовательном учреждении должна строго соблюдаться конфиденциальность информации, получаемой в результате исследования. 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5. Результаты анкетирования обучающихся позволили описать особенности их чтения и выявить отличительные характеристики успешных и неуспешных читателей. Обобщая данные о влиянии на выбор материала для чтения, можно отметить общую закономерность для всех у обучающихся вне зависимости от возраста: все они любят читать то, что выбирают сами, из внешних источников максимально влияют педагоги. На круг чтения девятиклассников так же сильно влияет Интернет и СМИ – в этом возрасте это третий по значимости источник. У школьников для ежедневного чтения наибольшей популярностью пользуется неопределенный тип литературы, потом следует информационная литература и за ней художественная. Замыкают рейтинг популярности журналы и комиксы.</w:t>
      </w:r>
    </w:p>
    <w:p w:rsidR="0064732E" w:rsidRPr="0064732E" w:rsidRDefault="0064732E" w:rsidP="0064732E">
      <w:pPr>
        <w:widowControl w:val="0"/>
        <w:suppressAutoHyphens/>
        <w:spacing w:after="0" w:line="240" w:lineRule="auto"/>
        <w:ind w:firstLine="426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64732E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6. Успешными читателями выступают те, кто тратят на чтение много времени, читают с удовольствием и любят обсуждать прочитанное, не испытывают трудностей в чтении на уроках, обладают довольно обширной домашней библиотекой.</w:t>
      </w:r>
    </w:p>
    <w:p w:rsidR="00085938" w:rsidRDefault="00085938"/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  <w:t>3</w:t>
      </w:r>
      <w:bookmarkStart w:id="0" w:name="_GoBack"/>
      <w:bookmarkEnd w:id="0"/>
      <w:r w:rsidRPr="00117638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  <w:t>. Всероссийские проверочные работы.</w:t>
      </w:r>
    </w:p>
    <w:p w:rsidR="00117638" w:rsidRPr="00117638" w:rsidRDefault="00117638" w:rsidP="00117638">
      <w:pPr>
        <w:widowControl w:val="0"/>
        <w:shd w:val="clear" w:color="auto" w:fill="F5F5F5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18-27 апреля 2017 года обучающиеся 5-х классов приняли участие в написании ВПР по русскому языку, математике, истории и биологии.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Ученики 5 класса в рамках ВПР по русскому языку выполняли контрольное списывание текста и несколько заданий, проверяющих знание признаков основных языковых единиц, умение распознать правильную орфоэпическую норму современного русского литературного языка, умение определять части речи, умение формулировать основную мысль текста и другое. Всего работа содержала 12 заданий.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Выполнение заданий (в % от числа участников)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82"/>
        <w:gridCol w:w="2374"/>
        <w:gridCol w:w="2390"/>
      </w:tblGrid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Кол-во участников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% выполнения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Вся выборка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1101170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58,1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ЯНАО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6391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59,4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Тазовский район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290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45,7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МБОУ ТСОШ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101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46,8</w:t>
            </w:r>
          </w:p>
        </w:tc>
      </w:tr>
    </w:tbl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Проверочная работа по математике состояла 14 заданий (1-13 базовый уровень, 14 повышенный уровень), проверяющих владение понятиями «делимость чисел», «обыкновенная дробь», «десятичная дробь», умения решать текстовые задачи на движение, работу, проценты и задачи практического содержания,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Выполнение заданий (в % от числа участников)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82"/>
        <w:gridCol w:w="2374"/>
        <w:gridCol w:w="2390"/>
      </w:tblGrid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Кол-во участников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% выполнения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Вся выборка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1099277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59,3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ЯНАО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6378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57,1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Тазовский район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283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45,8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МБОУ ТСОШ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101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46,6</w:t>
            </w:r>
          </w:p>
        </w:tc>
      </w:tr>
    </w:tbl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Проверочная работа по истории состояла 8 заданий (№1-3, 5, 7 - базовый уровень, №4, 8 - повышенный уровень, №6 - высокий уровень), проверяющих умение работать с текстовыми историческими источниками, знание исторической терминологии, знание истории родного края и т.д.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Выполнение заданий (в % от числа участников)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82"/>
        <w:gridCol w:w="2374"/>
        <w:gridCol w:w="2390"/>
      </w:tblGrid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Кол-во участников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% выполнения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Вся выборка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954723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60,7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ЯНАО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6377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62,7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Тазовский район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282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55,4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МБОУ ТСОШ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105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70,8</w:t>
            </w:r>
          </w:p>
        </w:tc>
      </w:tr>
    </w:tbl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Cs w:val="24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>Проверочная работа по биологии состояла 8 заданий (№1_3, 8_1 - повышенный уровень), проверяющих умение выделять существенные признаки биологических объектов, умение работать с текстом биологического содержания и т.д.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Выполнение заданий (в % от числа участников)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82"/>
        <w:gridCol w:w="2374"/>
        <w:gridCol w:w="2390"/>
      </w:tblGrid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Кол-во участников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% выполнения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Вся выборка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929869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65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ЯНАО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6195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65,9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Тазовский район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290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50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МБОУ ТСОШ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104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55,7</w:t>
            </w:r>
          </w:p>
        </w:tc>
      </w:tr>
    </w:tbl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  <w:t>Результаты ВПР в 5-х классах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305550" cy="23336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Cs w:val="24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>С 25 апреля по 18 мая 2017 года обучающиеся 11-х классов приняли участие в написании Всероссийских проверочных работ по географии, химии, физике, биологии и истории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Cs w:val="24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 xml:space="preserve">Проверочная работа по географии состояла из 17 заданий (№6, 8, 13, 16, 17 – задания </w:t>
      </w:r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lastRenderedPageBreak/>
        <w:t xml:space="preserve">повышенного уровня сложности) проверяющих умение оценивать </w:t>
      </w:r>
      <w:proofErr w:type="spellStart"/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>ресурсообеспеченность</w:t>
      </w:r>
      <w:proofErr w:type="spellEnd"/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 xml:space="preserve"> отдельных стран и регионов мира, понимание географических особенностей отраслевой и территориальной структуры мирового хозяйства, географические особенности России и ее роль в современном мире.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Выполнение заданий (в % от числа участников)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82"/>
        <w:gridCol w:w="2374"/>
        <w:gridCol w:w="2390"/>
      </w:tblGrid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Кол-во участников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% выполнения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Вся выборка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325918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66,7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ЯНАО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3203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70,6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Тазовский район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140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67,1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МБОУ ТСОШ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66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72,1</w:t>
            </w:r>
          </w:p>
        </w:tc>
      </w:tr>
    </w:tbl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Cs w:val="24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>Проверочная работа по химии состояла из 15 заданий (№ 9,10,13,14 – задания повышенного уровня сложности) проверяющих умение характеризовать элементы малых периодов по их положению в Периодической системе Д.И. Менделеева, умение объяснять зависимость свойств веществ от их состава и строения, умение вычислять массовую долю химического элемента по формуле соединения и массовую долю растворенного вещества в растворе и другое.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Выполнение заданий (в % от числа участников)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82"/>
        <w:gridCol w:w="2374"/>
        <w:gridCol w:w="2390"/>
      </w:tblGrid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Кол-во участников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% выполнения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Вся выборка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225176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71,8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ЯНАО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3037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75,7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Тазовский район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100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61,7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МБОУ ТСОШ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60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70,2</w:t>
            </w:r>
          </w:p>
        </w:tc>
      </w:tr>
    </w:tbl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Cs w:val="24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>Проверочная работа по физике состояла из 18 заданий (№ 12, 14, 15, 18 – задания повышенного уровня сложности) проверяющих умение понимать смысл физических понятий, величин и законов, умение работать с текстом физического содержания, знание устройства и принципа действия технических объектов, физических явлений окружающей среды.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Выполнение заданий (в % от числа участников)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82"/>
        <w:gridCol w:w="2374"/>
        <w:gridCol w:w="2390"/>
      </w:tblGrid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Кол-во участников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% выполнения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Вся выборка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239988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65,9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ЯНАО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3045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69,9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Тазовский район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104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55,5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МБОУ ТСОШ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64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56,9</w:t>
            </w:r>
          </w:p>
        </w:tc>
      </w:tr>
    </w:tbl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</w:pPr>
    </w:p>
    <w:p w:rsidR="00117638" w:rsidRPr="00117638" w:rsidRDefault="00117638" w:rsidP="001176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763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Проверочная работа по биологии состояла из 16 заданий (№ 6,10,12,16– задания повышенного уровня сложности) проверяющих </w:t>
      </w:r>
      <w:proofErr w:type="spellStart"/>
      <w:r w:rsidRPr="0011763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сформированность</w:t>
      </w:r>
      <w:proofErr w:type="spellEnd"/>
      <w:r w:rsidRPr="0011763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базовых биологических представлений и понятий, правил здорового образа жизни. 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Cs w:val="24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 xml:space="preserve">Контролируется также </w:t>
      </w:r>
      <w:proofErr w:type="spellStart"/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>сформированность</w:t>
      </w:r>
      <w:proofErr w:type="spellEnd"/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 xml:space="preserve"> различных </w:t>
      </w:r>
      <w:proofErr w:type="spellStart"/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>общеучебных</w:t>
      </w:r>
      <w:proofErr w:type="spellEnd"/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 xml:space="preserve">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решать качественные и количественные биологические задачи; использовать теоретические знания в практической деятельности и повседневной жизни.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Выполнение заданий (в % от числа участников)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82"/>
        <w:gridCol w:w="2374"/>
        <w:gridCol w:w="2390"/>
      </w:tblGrid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Кол-во участников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% выполнения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Вся выборка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240846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73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ЯНАО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2850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76,3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Тазовский район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103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67,3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МБОУ ТСОШ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64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75,2</w:t>
            </w:r>
          </w:p>
        </w:tc>
      </w:tr>
    </w:tbl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763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Проверочная работа по истории состояла из 12 заданий (№ 4, 9, 10_2, 12 – задания повышенного уровня сложности). </w:t>
      </w:r>
    </w:p>
    <w:p w:rsidR="00117638" w:rsidRPr="00117638" w:rsidRDefault="00117638" w:rsidP="00117638">
      <w:pPr>
        <w:widowControl w:val="0"/>
        <w:tabs>
          <w:tab w:val="left" w:pos="3845"/>
        </w:tabs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8"/>
          <w:lang w:eastAsia="hi-IN" w:bidi="hi-IN"/>
        </w:rPr>
        <w:t>Работа нацелена на выявление уровня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учащимися истории, культуры родного края.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Выполнение заданий (в % от числа участников)</w:t>
      </w: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82"/>
        <w:gridCol w:w="2374"/>
        <w:gridCol w:w="2390"/>
      </w:tblGrid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Кол-во участников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  <w:t>% выполнения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Вся выборка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257254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77,3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ЯНАО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2993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78,7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Тазовский район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104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74,7</w:t>
            </w:r>
          </w:p>
        </w:tc>
      </w:tr>
      <w:tr w:rsidR="00117638" w:rsidRPr="00117638" w:rsidTr="00AB12AE">
        <w:tc>
          <w:tcPr>
            <w:tcW w:w="95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109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МБОУ ТСОШ</w:t>
            </w:r>
          </w:p>
        </w:tc>
        <w:tc>
          <w:tcPr>
            <w:tcW w:w="2534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64</w:t>
            </w:r>
          </w:p>
        </w:tc>
        <w:tc>
          <w:tcPr>
            <w:tcW w:w="2535" w:type="dxa"/>
          </w:tcPr>
          <w:p w:rsidR="00117638" w:rsidRPr="00117638" w:rsidRDefault="00117638" w:rsidP="00117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17638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ru-RU" w:bidi="hi-IN"/>
              </w:rPr>
              <w:t>80,8</w:t>
            </w:r>
          </w:p>
        </w:tc>
      </w:tr>
    </w:tbl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</w:p>
    <w:p w:rsidR="00117638" w:rsidRPr="00117638" w:rsidRDefault="00117638" w:rsidP="00117638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  <w:t>Результаты ВПР в 11-х классах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117638">
        <w:rPr>
          <w:rFonts w:ascii="Times New Roman" w:eastAsia="DejaVu Sans" w:hAnsi="Times New Roman"/>
          <w:b/>
          <w:b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305550" cy="23336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17638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Выводы: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1. Обучающиеся 5-х и 11-х классов показали хорошие результаты ВПР.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2. Учителя-предметники обеспечили подготовку к ВПР на должном уровне.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3. ВПР были проведены в соответствии с нормативно-правовыми документами.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 xml:space="preserve">4. Задания ВПР были 2-х уровней сложности (базовый и повышенный). Обучающиеся, как правило, с заданиями базового уровня справлялись лучше.    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5. В ходе анализа результатов ВПР определился "коридор решаемости".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6. На основе индивидуальных результатов были составлены общешкольные результаты.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Рекомендации: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1. Использовать результаты ВПР, а также реестры затруднений в дальнейшей работе.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2. Повысить уровень общей и качественной успеваемости обучающихся.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3. Учитывать слабые стороны в процессе подготовки и написании ВПР в следующем году.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 xml:space="preserve">4. Результаты ВПР по отдельным предметам можно использовать в качестве оценки по </w:t>
      </w: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lastRenderedPageBreak/>
        <w:t>усмотрению учителя-предметника.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5. Классным руководителям довести результаты ВПР до сведения родителей обучающихся.</w:t>
      </w:r>
    </w:p>
    <w:p w:rsidR="00117638" w:rsidRPr="00117638" w:rsidRDefault="00117638" w:rsidP="001176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b/>
          <w:bCs/>
          <w:caps/>
          <w:kern w:val="1"/>
          <w:sz w:val="24"/>
          <w:szCs w:val="24"/>
          <w:lang w:eastAsia="ru-RU" w:bidi="hi-IN"/>
        </w:rPr>
      </w:pPr>
      <w:r w:rsidRPr="00117638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6. Руководителям школьных МО учителей на заседаниях детально рассмотреть результаты ВПР, реестр затруднений и использовать это в дальнейшей работе.</w:t>
      </w:r>
    </w:p>
    <w:p w:rsidR="00117638" w:rsidRDefault="00117638"/>
    <w:sectPr w:rsidR="0011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8"/>
    <w:rsid w:val="00085938"/>
    <w:rsid w:val="00117638"/>
    <w:rsid w:val="00637708"/>
    <w:rsid w:val="006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2208D-414A-41DA-9877-8AB72152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909090909090912E-2"/>
          <c:y val="6.4814814814814811E-2"/>
          <c:w val="0.53333333333333333"/>
          <c:h val="0.76851851851851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Продвинутый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Тазовский район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Тазовский район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Тазовский район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Тазовский район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Развивающийся</c:v>
                </c:pt>
              </c:strCache>
            </c:strRef>
          </c:tx>
          <c:spPr>
            <a:solidFill>
              <a:srgbClr val="6600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Тазовский район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714336"/>
        <c:axId val="99714896"/>
        <c:axId val="0"/>
      </c:bar3DChart>
      <c:catAx>
        <c:axId val="9971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714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714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7143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5757575757575759"/>
          <c:y val="0.25462962962962965"/>
          <c:w val="0.33030303030303032"/>
          <c:h val="0.4907407407407407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909090909090912E-2"/>
          <c:y val="6.4814814814814811E-2"/>
          <c:w val="0.53333333333333333"/>
          <c:h val="0.76851851851851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Продвинутый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МБОУ ТСОШ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МБОУ ТСОШ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МБОУ ТСОШ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МБОУ ТСОШ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Развивающийся</c:v>
                </c:pt>
              </c:strCache>
            </c:strRef>
          </c:tx>
          <c:spPr>
            <a:solidFill>
              <a:srgbClr val="6600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МБОУ ТСОШ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719376"/>
        <c:axId val="99719936"/>
        <c:axId val="0"/>
      </c:bar3DChart>
      <c:catAx>
        <c:axId val="9971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719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719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71937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5757575757575759"/>
          <c:y val="0.25462962962962965"/>
          <c:w val="0.33030303030303032"/>
          <c:h val="0.4907407407407407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153846153846156E-2"/>
          <c:y val="7.6271186440677971E-2"/>
          <c:w val="0.72153846153846157"/>
          <c:h val="0.75423728813559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58.1</c:v>
                </c:pt>
                <c:pt idx="1">
                  <c:v>59.3</c:v>
                </c:pt>
                <c:pt idx="2">
                  <c:v>60.7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59.4</c:v>
                </c:pt>
                <c:pt idx="1">
                  <c:v>57.1</c:v>
                </c:pt>
                <c:pt idx="2">
                  <c:v>62.7</c:v>
                </c:pt>
                <c:pt idx="3">
                  <c:v>65.900000000000006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Тазовский районн</c:v>
                </c:pt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45.7</c:v>
                </c:pt>
                <c:pt idx="1">
                  <c:v>45.8</c:v>
                </c:pt>
                <c:pt idx="2">
                  <c:v>55.4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МБОУ ТСОШ</c:v>
                </c:pt>
              </c:strCache>
            </c:strRef>
          </c:tx>
          <c:spPr>
            <a:solidFill>
              <a:srgbClr val="CCFFFF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46.8</c:v>
                </c:pt>
                <c:pt idx="1">
                  <c:v>46.6</c:v>
                </c:pt>
                <c:pt idx="2">
                  <c:v>70.8</c:v>
                </c:pt>
                <c:pt idx="3">
                  <c:v>55.7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6612080"/>
        <c:axId val="226611520"/>
        <c:axId val="0"/>
      </c:bar3DChart>
      <c:catAx>
        <c:axId val="22661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611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611520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612080"/>
        <c:crosses val="autoZero"/>
        <c:crossBetween val="between"/>
      </c:valAx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7846153846153846"/>
          <c:y val="0.3135593220338983"/>
          <c:w val="0.20923076923076922"/>
          <c:h val="0.3771186440677966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153846153846156E-2"/>
          <c:y val="7.6271186440677971E-2"/>
          <c:w val="0.72153846153846157"/>
          <c:h val="0.75423728813559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География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66.7</c:v>
                </c:pt>
                <c:pt idx="1">
                  <c:v>71.8</c:v>
                </c:pt>
                <c:pt idx="2">
                  <c:v>65.900000000000006</c:v>
                </c:pt>
                <c:pt idx="3">
                  <c:v>73</c:v>
                </c:pt>
                <c:pt idx="4">
                  <c:v>77.3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География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70.599999999999994</c:v>
                </c:pt>
                <c:pt idx="1">
                  <c:v>75.7</c:v>
                </c:pt>
                <c:pt idx="2">
                  <c:v>69.900000000000006</c:v>
                </c:pt>
                <c:pt idx="3">
                  <c:v>76.3</c:v>
                </c:pt>
                <c:pt idx="4">
                  <c:v>78.7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Тазовский районн</c:v>
                </c:pt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География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67.099999999999994</c:v>
                </c:pt>
                <c:pt idx="1">
                  <c:v>61.7</c:v>
                </c:pt>
                <c:pt idx="2">
                  <c:v>55.5</c:v>
                </c:pt>
                <c:pt idx="3">
                  <c:v>67.3</c:v>
                </c:pt>
                <c:pt idx="4">
                  <c:v>74.7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МБОУ ТСОШ</c:v>
                </c:pt>
              </c:strCache>
            </c:strRef>
          </c:tx>
          <c:spPr>
            <a:solidFill>
              <a:srgbClr val="CCFFFF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География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72.099999999999994</c:v>
                </c:pt>
                <c:pt idx="1">
                  <c:v>70.2</c:v>
                </c:pt>
                <c:pt idx="2">
                  <c:v>56.9</c:v>
                </c:pt>
                <c:pt idx="3">
                  <c:v>75.2</c:v>
                </c:pt>
                <c:pt idx="4">
                  <c:v>80.8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8637248"/>
        <c:axId val="223164016"/>
        <c:axId val="0"/>
      </c:bar3DChart>
      <c:catAx>
        <c:axId val="22863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3164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3164016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8637248"/>
        <c:crosses val="autoZero"/>
        <c:crossBetween val="between"/>
      </c:valAx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7846153846153846"/>
          <c:y val="0.3135593220338983"/>
          <c:w val="0.20923076923076922"/>
          <c:h val="0.3771186440677966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2335</Words>
  <Characters>13312</Characters>
  <Application>Microsoft Office Word</Application>
  <DocSecurity>0</DocSecurity>
  <Lines>110</Lines>
  <Paragraphs>31</Paragraphs>
  <ScaleCrop>false</ScaleCrop>
  <Company/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2018-02-09T09:54:00Z</dcterms:created>
  <dcterms:modified xsi:type="dcterms:W3CDTF">2018-02-09T10:02:00Z</dcterms:modified>
</cp:coreProperties>
</file>